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ПОЛОЖЕНИЕ</w:t>
      </w:r>
    </w:p>
    <w:p w14:paraId="02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КОНКУРСНОГО ОТБОРА ПРОЕКТОВ БЛАГОУСТРОЙСТВА</w:t>
      </w:r>
    </w:p>
    <w:p w14:paraId="03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МУНИЦИПАЛЬНЫХ ОБРАЗОВАНИЙ РЕСПУБЛИКИ САХА (ЯКУТИЯ),</w:t>
      </w:r>
    </w:p>
    <w:p w14:paraId="04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ПОДЛЕЖАЩИХ ВКЛЮЧЕНИЮ В ПРОЕКТ «1000 ДВОРОВ</w:t>
      </w:r>
    </w:p>
    <w:p w14:paraId="05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ДАЛЬНЕМ ВОСТОКЕ»</w:t>
      </w:r>
    </w:p>
    <w:p w14:paraId="06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07000000">
      <w:pPr>
        <w:widowControl w:val="0"/>
        <w:spacing w:after="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 Настоящее Положение определяет порядок организации и проведения конкурса по отбору проектов благоустройства муниципальных образований Республики Саха (Якутия) (далее - конкурс) в целях включения их в адресный перечень проекта «1000 дворов на Дальнем Востоке», основные требования к представляемым документам, процедуру, в том числе сроки их рассмотрения, а также иные положения, необходимые для проведения конкурса.</w:t>
      </w:r>
    </w:p>
    <w:p w14:paraId="08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 Функции конкурсной комиссии по проведению конкурса осуществляются межведомственной комиссией, действующей на основании </w:t>
      </w:r>
      <w:r>
        <w:rPr>
          <w:rFonts w:ascii="PT Astra Serif" w:hAnsi="PT Astra Serif"/>
          <w:color w:val="0000FF"/>
          <w:sz w:val="28"/>
        </w:rPr>
        <w:fldChar w:fldCharType="begin"/>
      </w:r>
      <w:r>
        <w:rPr>
          <w:rFonts w:ascii="PT Astra Serif" w:hAnsi="PT Astra Serif"/>
          <w:color w:val="0000FF"/>
          <w:sz w:val="28"/>
        </w:rPr>
        <w:instrText>HYPERLINK "consultantplus://offline/ref=016ED73B72570A5AE3F9144E12C759E4D6BDA4FEE8F2CE8A76406A6E50F51699DC429C401A3EC24A1E66D9870946E8E5qFq6F"</w:instrText>
      </w:r>
      <w:r>
        <w:rPr>
          <w:rFonts w:ascii="PT Astra Serif" w:hAnsi="PT Astra Serif"/>
          <w:color w:val="0000FF"/>
          <w:sz w:val="28"/>
        </w:rPr>
        <w:fldChar w:fldCharType="separate"/>
      </w:r>
      <w:r>
        <w:rPr>
          <w:rFonts w:ascii="PT Astra Serif" w:hAnsi="PT Astra Serif"/>
          <w:color w:val="0000FF"/>
          <w:sz w:val="28"/>
        </w:rPr>
        <w:t>Указа</w:t>
      </w:r>
      <w:r>
        <w:rPr>
          <w:rFonts w:ascii="PT Astra Serif" w:hAnsi="PT Astra Serif"/>
          <w:color w:val="0000FF"/>
          <w:sz w:val="28"/>
        </w:rPr>
        <w:fldChar w:fldCharType="end"/>
      </w:r>
      <w:r>
        <w:rPr>
          <w:rFonts w:ascii="PT Astra Serif" w:hAnsi="PT Astra Serif"/>
          <w:sz w:val="28"/>
        </w:rPr>
        <w:t xml:space="preserve"> Главы Республики Саха (Якутия) от 1 декабря 2020 г. N 1542 "О проекте "Родные города и села" (далее - межведомственная комиссия).</w:t>
      </w:r>
    </w:p>
    <w:p w14:paraId="09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 Для целей настоящего конкурса используются следующие понятия:</w:t>
      </w:r>
    </w:p>
    <w:p w14:paraId="0A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дворовые территории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0B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мини-парки - территории общего пользования, расположенные внутри жилого района, имеющие ориентацию на разные возрастные группы;</w:t>
      </w:r>
    </w:p>
    <w:p w14:paraId="0C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дизайн-проект - архитектурно-дизайнерские и функционально-планировочные решения, включающие текстовое и визуальное описание предлагаемого проекта, в том числе его концепцию и перечень (в том числе визуализированный) элементов благоустройства, предлагаемых к размещению на соответствующей территории;</w:t>
      </w:r>
    </w:p>
    <w:p w14:paraId="0D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проектно-сметная документация - документация, содержащая текстовые и графические материалы и определяющая архитектурные, функционально-технологические, конструктивные и инженерно-технические решения для обеспечения строительства объектов.</w:t>
      </w:r>
    </w:p>
    <w:p w14:paraId="0E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 В конкурсе вправе участвовать муниципальные образования Республики Саха (Якутия), в состав которых входят населенные пункты с численностью населения свыше</w:t>
      </w:r>
      <w:r>
        <w:rPr>
          <w:rFonts w:ascii="PT Astra Serif" w:hAnsi="PT Astra Serif"/>
          <w:sz w:val="28"/>
        </w:rPr>
        <w:t xml:space="preserve"> 500 </w:t>
      </w:r>
      <w:r>
        <w:rPr>
          <w:rFonts w:ascii="PT Astra Serif" w:hAnsi="PT Astra Serif"/>
          <w:sz w:val="28"/>
        </w:rPr>
        <w:t>человек.</w:t>
      </w:r>
    </w:p>
    <w:p w14:paraId="0F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4.1. </w:t>
      </w:r>
      <w:r>
        <w:rPr/>
        <w:t>К участию в конкурсе не допускаются:</w:t>
      </w:r>
    </w:p>
    <w:p w14:paraId="10000000">
      <w:pPr>
        <w:ind w:firstLine="567" w:left="0"/>
        <w:rPr/>
      </w:pPr>
      <w:r>
        <w:rPr/>
        <w:t xml:space="preserve">а) </w:t>
      </w:r>
      <w:r>
        <w:rPr/>
        <w:t xml:space="preserve">муниципальные образования, являющееся </w:t>
      </w:r>
      <w:r>
        <w:rPr/>
        <w:t>победителем предыдущего конкурса</w:t>
      </w:r>
      <w:r>
        <w:rPr/>
        <w:t>, на территории которого имеется не завершенный проект в установленные сроки;</w:t>
      </w:r>
    </w:p>
    <w:p w14:paraId="11000000">
      <w:pPr>
        <w:ind w:firstLine="567" w:left="0"/>
        <w:rPr/>
      </w:pPr>
      <w:r>
        <w:rPr/>
        <w:t xml:space="preserve">б) муниципальные образования, на территории которых имеются незавершенные объекты </w:t>
      </w:r>
      <w:r>
        <w:rPr/>
        <w:t xml:space="preserve">государственных (муниципальных) программ формирования современной городской среды, реализация </w:t>
      </w:r>
      <w:r>
        <w:rPr/>
        <w:t>которых не была завершена в соответствующем финансовом году.</w:t>
      </w:r>
    </w:p>
    <w:p w14:paraId="12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5. Конкурс проводится ежегодно до 1 декабря года, предшествующего предоставлению иного межбюджетного трансферта.</w:t>
      </w:r>
    </w:p>
    <w:p w14:paraId="13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Организатором конкурса является Управление архитектуры и градостроительства при Главе Республики Саха (Якутия) (далее - организатор конкурса).</w:t>
      </w:r>
    </w:p>
    <w:p w14:paraId="14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 Организатором конкурса за 10 дней до начала конкурсного отбора размещается информация о проведении конкурсного отбора в информационно-телекоммуникационной сети Интернет на официальном сайте организатора конкурса uaig.sakha.gov.ru.</w:t>
      </w:r>
    </w:p>
    <w:p w14:paraId="15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7. Конкурс проводится в два этапа</w:t>
      </w:r>
    </w:p>
    <w:p w14:paraId="16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1 этап:</w:t>
      </w:r>
    </w:p>
    <w:p w14:paraId="17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муниципальное образование, принявшее решение об участии в конкурсе, обеспечивает проведение общественного обсуждения проекта с жителями населенного пункта, на территории которого предусматривается реализация проекта, на предмет выбора территории, путем проведения общего собрания жителей по выбору дворовых территорий и мини-парков. Сбор предложений осуществляется в гибридном формате: посредством сбора предложений от жителей на цифровой платформе "One Click Yakutia", иных интернет- и ТВ-ресурсах, газетах, а также путем письменного обращения в администрации муниципальных образований.</w:t>
      </w:r>
    </w:p>
    <w:p w14:paraId="18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Продолжительность приема предложений не может быть менее 10 календарных дней со дня опубликования решения органа местного самоуправления о начале сбора предложений, но не более 30 календарных дней;</w:t>
      </w:r>
    </w:p>
    <w:p w14:paraId="19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 2 этап:</w:t>
      </w:r>
    </w:p>
    <w:p w14:paraId="1A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муниципальное образование не позднее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30</w:t>
      </w:r>
      <w:r>
        <w:rPr>
          <w:rFonts w:ascii="PT Astra Serif" w:hAnsi="PT Astra Serif"/>
          <w:sz w:val="28"/>
        </w:rPr>
        <w:t xml:space="preserve"> ноября года, предшествующего предоставлению иного межбюджетного трансферта, принимает решение о подведении итогов приема предложений от населения.</w:t>
      </w:r>
    </w:p>
    <w:p w14:paraId="1B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8. Муниципальное образование с учетом принятого решения, указанного в </w:t>
      </w:r>
      <w:r>
        <w:rPr>
          <w:rFonts w:ascii="PT Astra Serif" w:hAnsi="PT Astra Serif"/>
          <w:color w:val="0000FF"/>
          <w:sz w:val="28"/>
        </w:rPr>
        <w:t>подпункте 2 пункта 7</w:t>
      </w:r>
      <w:r>
        <w:rPr>
          <w:rFonts w:ascii="PT Astra Serif" w:hAnsi="PT Astra Serif"/>
          <w:sz w:val="28"/>
        </w:rPr>
        <w:t xml:space="preserve"> настоящего Положения, формирует соответствующую конкурсную заявку, оформленную в соответствии с </w:t>
      </w:r>
      <w:r>
        <w:rPr>
          <w:rFonts w:ascii="PT Astra Serif" w:hAnsi="PT Astra Serif"/>
          <w:color w:val="0000FF"/>
          <w:sz w:val="28"/>
        </w:rPr>
        <w:t>пунктом 9</w:t>
      </w:r>
      <w:r>
        <w:rPr>
          <w:rFonts w:ascii="PT Astra Serif" w:hAnsi="PT Astra Serif"/>
          <w:sz w:val="28"/>
        </w:rPr>
        <w:t xml:space="preserve"> настоящего Положения, и не позднее </w:t>
      </w:r>
      <w:r>
        <w:rPr>
          <w:rFonts w:ascii="PT Astra Serif" w:hAnsi="PT Astra Serif"/>
          <w:sz w:val="28"/>
        </w:rPr>
        <w:t>30</w:t>
      </w:r>
      <w:r>
        <w:rPr>
          <w:rFonts w:ascii="PT Astra Serif" w:hAnsi="PT Astra Serif"/>
          <w:sz w:val="28"/>
        </w:rPr>
        <w:t xml:space="preserve"> ноября года, предшествующего предоставлению иного межбюджетного трансферта, предоставляет на рассмотрение в межведомственную комиссию.</w:t>
      </w:r>
    </w:p>
    <w:p w14:paraId="1C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Заявки на участие в конкурсе принимаются на электронную почту организатора конкурса: 1000_dvorov@mail.ru.</w:t>
      </w:r>
    </w:p>
    <w:p w14:paraId="1D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9. Представление на конкурс документов осуществляется сопроводительным письмом (заявкой) согласно </w:t>
      </w:r>
      <w:r>
        <w:rPr>
          <w:rFonts w:ascii="PT Astra Serif" w:hAnsi="PT Astra Serif"/>
          <w:color w:val="0000FF"/>
          <w:sz w:val="28"/>
        </w:rPr>
        <w:t>приложению N 1</w:t>
      </w:r>
      <w:r>
        <w:rPr>
          <w:rFonts w:ascii="PT Astra Serif" w:hAnsi="PT Astra Serif"/>
          <w:sz w:val="28"/>
        </w:rPr>
        <w:t xml:space="preserve"> к настоящему положению за подписью главы муниципального района Республики Саха (Якутия), к которому прилагаются следующие документы:</w:t>
      </w:r>
    </w:p>
    <w:p w14:paraId="1E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1) описание в текстовой и графической формах комплекса мероприятий с учетом критериев оценки конкурсных заявок, предусмотренных </w:t>
      </w:r>
      <w:r>
        <w:rPr>
          <w:rFonts w:ascii="PT Astra Serif" w:hAnsi="PT Astra Serif"/>
          <w:color w:val="0000FF"/>
          <w:sz w:val="28"/>
        </w:rPr>
        <w:t>пунктом 13</w:t>
      </w:r>
      <w:r>
        <w:rPr>
          <w:rFonts w:ascii="PT Astra Serif" w:hAnsi="PT Astra Serif"/>
          <w:sz w:val="28"/>
        </w:rPr>
        <w:t xml:space="preserve"> настоящего Положения;</w:t>
      </w:r>
    </w:p>
    <w:p w14:paraId="1F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2) проектно-сметная документация объекта </w:t>
      </w:r>
      <w:r>
        <w:rPr>
          <w:rFonts w:ascii="PT Astra Serif" w:hAnsi="PT Astra Serif"/>
          <w:sz w:val="28"/>
        </w:rPr>
        <w:t xml:space="preserve">или договор на разработку проектно-сметной </w:t>
      </w:r>
      <w:r>
        <w:rPr>
          <w:rFonts w:ascii="PT Astra Serif" w:hAnsi="PT Astra Serif"/>
          <w:sz w:val="28"/>
        </w:rPr>
        <w:t>документации;</w:t>
      </w:r>
    </w:p>
    <w:p w14:paraId="20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3) протокол общего собрания жителей по выбору дворовых территорий и мини-парков (список адресов и участков);</w:t>
      </w:r>
    </w:p>
    <w:p w14:paraId="21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4) выписка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(далее - выписка), заверенную администрацией муниципального образования, или гарантийное письмо муниципального образования о софинансировании средств на реализацию проекта;</w:t>
      </w:r>
    </w:p>
    <w:p w14:paraId="22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5) фотоматериалы существующего состояния территории хорошего качества в различных ракурсах (не менее 3 - 4 фотографий);</w:t>
      </w:r>
    </w:p>
    <w:p w14:paraId="23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6) информация, подтверждающая проведение общественного обсуждения проекта (ссылки на голосование на цифровой платформе "One Click Yakutia", иные интернет- и ТВ-ресурсы, копии газет и прочее на усмотрение участника конкурса);</w:t>
      </w:r>
    </w:p>
    <w:p w14:paraId="24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7) подтверждение об отсутствии</w:t>
      </w:r>
      <w:r>
        <w:rPr>
          <w:rFonts w:ascii="PT Astra Serif" w:hAnsi="PT Astra Serif"/>
          <w:sz w:val="28"/>
        </w:rPr>
        <w:t xml:space="preserve"> з</w:t>
      </w:r>
      <w:r>
        <w:rPr>
          <w:rFonts w:ascii="PT Astra Serif" w:hAnsi="PT Astra Serif"/>
          <w:sz w:val="28"/>
        </w:rPr>
        <w:t>он с особыми условиями использования территорий (ЗОУИТ) в границах планируемого благоустройства;</w:t>
      </w:r>
    </w:p>
    <w:p w14:paraId="25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8) подтверждение о наличии актуальных исходных данных: топографическая съемка (не более 5 лет давности); инженерные изыскания (при наличии).</w:t>
      </w:r>
    </w:p>
    <w:p w14:paraId="26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9) подтверждение о привлечении полномочных представителей общественных объединений инвалидов для подготовки и принятия решений, затрагивающих интересы инвалидов, в части приспособления для беспрепятственного доступа к объекту благоустройства инвалидов и использования их инвалидами.</w:t>
      </w:r>
    </w:p>
    <w:p w14:paraId="27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10. Документы, представленные на конкурс, в течение 1 рабочего дня регистрируются в журнале регистрации документов и в течение трех рабочих дней со дня их предоставления проходят предварительное рассмотрение и оценку организатором конкурса.</w:t>
      </w:r>
    </w:p>
    <w:p w14:paraId="28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11. В случае выявления несоответствия документов, представленных на конкурс, требованиям, установленным настоящим Положением, уполномоченному лицу муниципального образования на адрес электронной почты, указанный в качестве контактных данных, Управлением архитектуры Республики Саха (Якутия) направляется перечень замечаний по документам для их доработки на срок не более 3 рабочих дней с проставлением в электронном реестре заявок соответствующей отметки.</w:t>
      </w:r>
    </w:p>
    <w:p w14:paraId="29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12. В случае непредставления документов в соответствии с </w:t>
      </w:r>
      <w:r>
        <w:rPr>
          <w:rFonts w:ascii="PT Astra Serif" w:hAnsi="PT Astra Serif"/>
          <w:color w:val="0000FF"/>
          <w:sz w:val="28"/>
        </w:rPr>
        <w:t>пунктом 9</w:t>
      </w:r>
      <w:r>
        <w:rPr>
          <w:rFonts w:ascii="PT Astra Serif" w:hAnsi="PT Astra Serif"/>
          <w:sz w:val="28"/>
        </w:rPr>
        <w:t xml:space="preserve"> настоящего Положения заявка на конкурс и документы считаются не поданными.</w:t>
      </w:r>
    </w:p>
    <w:p w14:paraId="2A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13. Оценка конкурсных заявок осуществляется межведомственной комиссией по следующим критериям:</w:t>
      </w:r>
    </w:p>
    <w:p w14:paraId="2B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проект благоустройства расположен в пределах жилой застройки;</w:t>
      </w:r>
    </w:p>
    <w:p w14:paraId="2C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 наличие проектно-сметной документации или наличие заключенного договора на разработку проектно-сметной документации;</w:t>
      </w:r>
    </w:p>
    <w:p w14:paraId="2D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3) наличие софинансирования из государственного, местного бюджетов, а также внебюджетных источников;</w:t>
      </w:r>
    </w:p>
    <w:p w14:paraId="2E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4) проекты благоустройства территорий расположены на территориях муниципальных образований, в которых в последующих годах проводятся мероприятия общереспубликанского значения (национальный праздник Ысыах, посвященный якутскому героическому эпосу Олонхо, спартакиада по национальным видам спорта "Игры Манчаары", спортивные игры народов Якутии);</w:t>
      </w:r>
    </w:p>
    <w:p w14:paraId="2F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5) синхронизация отбираемого проекта с программой поддержки местных инициатив, программой формирования современной городской среды и иных государственных (муниципальных) программ по благоустройству территорий;</w:t>
      </w:r>
    </w:p>
    <w:p w14:paraId="30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6) доля граждан муниципального образования, принявших на всех этапах подготовки конкурсной заявки;</w:t>
      </w:r>
    </w:p>
    <w:p w14:paraId="31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7) востребованность реализуемого проекта (создание популярного места для посещения и проведения досуга жителями) с точки зрения достижения наибольшего эффекта для территории соответствующего муниципального образования.</w:t>
      </w:r>
    </w:p>
    <w:p w14:paraId="32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14. Среднее значение оценки проекта (Rнн) по каждому из критериев, указанных в </w:t>
      </w:r>
      <w:r>
        <w:rPr>
          <w:rFonts w:ascii="PT Astra Serif" w:hAnsi="PT Astra Serif"/>
          <w:color w:val="0000FF"/>
          <w:sz w:val="28"/>
        </w:rPr>
        <w:t>пункте 13</w:t>
      </w:r>
      <w:r>
        <w:rPr>
          <w:rFonts w:ascii="PT Astra Serif" w:hAnsi="PT Astra Serif"/>
          <w:sz w:val="28"/>
        </w:rPr>
        <w:t xml:space="preserve"> настоящего Положения, определяется путем расчета среднеарифметического значения всех баллов, выставленных членами межведомственной комиссии, по формуле:</w:t>
      </w:r>
    </w:p>
    <w:p w14:paraId="33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34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Rнн = (R1 + R2 +... Rn) / N,</w:t>
      </w:r>
    </w:p>
    <w:p w14:paraId="35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36000000">
      <w:pPr>
        <w:widowControl w:val="0"/>
        <w:spacing w:after="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где:</w:t>
      </w:r>
    </w:p>
    <w:p w14:paraId="37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R1, R2,... Rn - баллы, выставленные членами межведомственной комиссии;</w:t>
      </w:r>
    </w:p>
    <w:p w14:paraId="38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N - количество оценок.</w:t>
      </w:r>
    </w:p>
    <w:p w14:paraId="39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15. Подведение итогов конкурса на основании оценки конкурсных заявок исходя из критериев, установленных </w:t>
      </w:r>
      <w:r>
        <w:rPr>
          <w:rFonts w:ascii="PT Astra Serif" w:hAnsi="PT Astra Serif"/>
          <w:color w:val="0000FF"/>
          <w:sz w:val="28"/>
        </w:rPr>
        <w:t>пунктом 13</w:t>
      </w:r>
      <w:r>
        <w:rPr>
          <w:rFonts w:ascii="PT Astra Serif" w:hAnsi="PT Astra Serif"/>
          <w:sz w:val="28"/>
        </w:rPr>
        <w:t xml:space="preserve"> настоящего Положения, оформляется решением межведомственной комиссии.</w:t>
      </w:r>
    </w:p>
    <w:p w14:paraId="3A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16. </w:t>
      </w:r>
      <w:r>
        <w:rPr>
          <w:rFonts w:ascii="PT Astra Serif" w:hAnsi="PT Astra Serif"/>
          <w:color w:val="0000FF"/>
          <w:sz w:val="28"/>
        </w:rPr>
        <w:t>Критерии</w:t>
      </w:r>
      <w:r>
        <w:rPr>
          <w:rFonts w:ascii="PT Astra Serif" w:hAnsi="PT Astra Serif"/>
          <w:sz w:val="28"/>
        </w:rPr>
        <w:t xml:space="preserve"> оценки конкурсных заявок установлены приложением N 2 настоящего Положения.</w:t>
      </w:r>
    </w:p>
    <w:p w14:paraId="3B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17. В случае, если заявкам присвоены равные значения оценки, приоритет для включения в адресный перечень получают заявки исходя из даты и времени предоставления конкурсной заявки в соответствии с журналом регистрации.</w:t>
      </w:r>
    </w:p>
    <w:p w14:paraId="3C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18. Межведомственная комиссия в течение 10 рабочих дней со дня окончания даты приема заявок проводит отбор проектов, подводит итоги конкурса и формирует ранжированный перечень территорий с присвоением баллов.</w:t>
      </w:r>
    </w:p>
    <w:p w14:paraId="3D000000">
      <w:pPr>
        <w:widowControl w:val="0"/>
        <w:spacing w:after="0" w:before="200" w:line="240" w:lineRule="auto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19. Итоговые распределения иных межбюджетных трансфертов между муниципальными образованиями утверждаются нормативным правовым актом Правительства Республики Саха (Якутия) на основании протокола заседания межведомственной комиссии.</w:t>
      </w:r>
    </w:p>
    <w:p w14:paraId="3E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3F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0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1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2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3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4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5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6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7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8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9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A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B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C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D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E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4F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50000000">
      <w:pPr>
        <w:widowControl w:val="0"/>
        <w:spacing w:after="0" w:line="240" w:lineRule="auto"/>
        <w:ind/>
        <w:jc w:val="right"/>
        <w:outlineLvl w:val="3"/>
        <w:rPr>
          <w:rFonts w:ascii="PT Astra Serif" w:hAnsi="PT Astra Serif"/>
          <w:sz w:val="28"/>
        </w:rPr>
      </w:pPr>
    </w:p>
    <w:p w14:paraId="51000000">
      <w:pPr>
        <w:widowControl w:val="0"/>
        <w:spacing w:after="0" w:line="240" w:lineRule="auto"/>
        <w:ind/>
        <w:jc w:val="right"/>
        <w:outlineLvl w:val="3"/>
        <w:rPr>
          <w:rFonts w:ascii="PT Astra Serif" w:hAnsi="PT Astra Serif"/>
          <w:sz w:val="28"/>
        </w:rPr>
      </w:pPr>
    </w:p>
    <w:p w14:paraId="52000000">
      <w:pPr>
        <w:widowControl w:val="0"/>
        <w:spacing w:after="0" w:line="240" w:lineRule="auto"/>
        <w:ind/>
        <w:jc w:val="right"/>
        <w:outlineLvl w:val="3"/>
        <w:rPr>
          <w:rFonts w:ascii="PT Astra Serif" w:hAnsi="PT Astra Serif"/>
          <w:sz w:val="28"/>
        </w:rPr>
      </w:pPr>
    </w:p>
    <w:p w14:paraId="53000000">
      <w:pPr>
        <w:widowControl w:val="0"/>
        <w:spacing w:after="0" w:line="240" w:lineRule="auto"/>
        <w:ind/>
        <w:jc w:val="right"/>
        <w:outlineLvl w:val="3"/>
        <w:rPr>
          <w:rFonts w:ascii="PT Astra Serif" w:hAnsi="PT Astra Serif"/>
          <w:sz w:val="28"/>
        </w:rPr>
      </w:pPr>
    </w:p>
    <w:p w14:paraId="54000000">
      <w:pPr>
        <w:widowControl w:val="0"/>
        <w:spacing w:after="0" w:line="240" w:lineRule="auto"/>
        <w:ind/>
        <w:jc w:val="right"/>
        <w:outlineLvl w:val="3"/>
        <w:rPr>
          <w:rFonts w:ascii="PT Astra Serif" w:hAnsi="PT Astra Serif"/>
          <w:sz w:val="28"/>
        </w:rPr>
      </w:pPr>
    </w:p>
    <w:p w14:paraId="55000000">
      <w:pPr>
        <w:widowControl w:val="0"/>
        <w:spacing w:after="0" w:line="240" w:lineRule="auto"/>
        <w:ind/>
        <w:jc w:val="right"/>
        <w:outlineLvl w:val="3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N 1</w:t>
      </w:r>
    </w:p>
    <w:p w14:paraId="56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 Положению конкурсного</w:t>
      </w:r>
    </w:p>
    <w:p w14:paraId="57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отбора проектов благоустройства</w:t>
      </w:r>
    </w:p>
    <w:p w14:paraId="58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муниципальных образований</w:t>
      </w:r>
    </w:p>
    <w:p w14:paraId="59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Республики Саха (Якутия),</w:t>
      </w:r>
    </w:p>
    <w:p w14:paraId="5A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подлежащих включению в проект</w:t>
      </w:r>
    </w:p>
    <w:p w14:paraId="5B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«1000 дворов на Дальнем Востоке»</w:t>
      </w:r>
    </w:p>
    <w:p w14:paraId="5C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5D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Форма</w:t>
      </w:r>
    </w:p>
    <w:p w14:paraId="5E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5F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ЗАЯВКА</w:t>
      </w:r>
    </w:p>
    <w:p w14:paraId="60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для участия в конкурсном отборе проектов благоустройства</w:t>
      </w:r>
    </w:p>
    <w:p w14:paraId="61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муниципальных образований Республики Саха (Якутия),</w:t>
      </w:r>
    </w:p>
    <w:p w14:paraId="62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подлежащих включению в проект «1000 дворов</w:t>
      </w:r>
    </w:p>
    <w:p w14:paraId="63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Дальнем Востоке»</w:t>
      </w:r>
    </w:p>
    <w:p w14:paraId="64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309"/>
        <w:gridCol w:w="2309"/>
        <w:gridCol w:w="3191"/>
      </w:tblGrid>
      <w:tr>
        <w:tc>
          <w:tcPr>
            <w:tcW w:type="dxa" w:w="980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В соответствии с </w:t>
            </w:r>
            <w:r>
              <w:rPr>
                <w:rFonts w:ascii="PT Astra Serif" w:hAnsi="PT Astra Serif"/>
                <w:color w:val="0000FF"/>
                <w:sz w:val="28"/>
              </w:rPr>
              <w:t>пунктом 9</w:t>
            </w:r>
            <w:r>
              <w:rPr>
                <w:rFonts w:ascii="PT Astra Serif" w:hAnsi="PT Astra Serif"/>
                <w:sz w:val="28"/>
              </w:rPr>
              <w:t xml:space="preserve"> Положения конкурсного отбора направляю на рассмотрение предложение (заявку) для включения территории в проект «1000 дворов на Дальнем Востоке»:</w:t>
            </w:r>
          </w:p>
          <w:p w14:paraId="6600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1) наименование муниципального образования:</w:t>
            </w:r>
          </w:p>
          <w:p w14:paraId="67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_______________________________________________________________;</w:t>
            </w:r>
          </w:p>
          <w:p w14:paraId="6800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2) адрес дворовой территории (или мини-парка):</w:t>
            </w:r>
          </w:p>
          <w:p w14:paraId="69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_______________________________________________________________;</w:t>
            </w:r>
          </w:p>
          <w:p w14:paraId="6A00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3) численность населения муниципального образования</w:t>
            </w:r>
          </w:p>
          <w:p w14:paraId="6B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_______________________________________________________________;</w:t>
            </w:r>
          </w:p>
        </w:tc>
      </w:tr>
      <w:tr>
        <w:tc>
          <w:tcPr>
            <w:tcW w:type="dxa" w:w="980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 условиями проведения оценки предложений ознакомлен и согласен. Достоверность представленной информации подтверждаю. С размещением материалов сети Интернет согласен.</w:t>
            </w:r>
          </w:p>
          <w:p w14:paraId="6D00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Приложение: _______________________________________________________________</w:t>
            </w:r>
          </w:p>
          <w:p w14:paraId="6E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_______________________________________________________________</w:t>
            </w:r>
          </w:p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(указать наименование материалов в соответствии с </w:t>
            </w:r>
            <w:r>
              <w:rPr>
                <w:rFonts w:ascii="PT Astra Serif" w:hAnsi="PT Astra Serif"/>
                <w:color w:val="0000FF"/>
                <w:sz w:val="28"/>
              </w:rPr>
              <w:t>пунктом 9</w:t>
            </w:r>
            <w:r>
              <w:rPr>
                <w:rFonts w:ascii="PT Astra Serif" w:hAnsi="PT Astra Serif"/>
                <w:sz w:val="28"/>
              </w:rPr>
              <w:t xml:space="preserve"> Положения)</w:t>
            </w:r>
          </w:p>
        </w:tc>
      </w:tr>
      <w:tr>
        <w:tc>
          <w:tcPr>
            <w:tcW w:type="dxa" w:w="9809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widowControl w:val="0"/>
              <w:spacing w:after="0" w:line="240" w:lineRule="auto"/>
              <w:ind/>
              <w:rPr>
                <w:rFonts w:ascii="PT Astra Serif" w:hAnsi="PT Astra Serif"/>
                <w:sz w:val="28"/>
              </w:rPr>
            </w:pPr>
          </w:p>
        </w:tc>
      </w:tr>
      <w:tr>
        <w:tc>
          <w:tcPr>
            <w:tcW w:type="dxa" w:w="43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_____________________________</w:t>
            </w:r>
          </w:p>
          <w:p w14:paraId="72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Глава муниципального района</w:t>
            </w:r>
          </w:p>
        </w:tc>
        <w:tc>
          <w:tcPr>
            <w:tcW w:type="dxa" w:w="23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_______________</w:t>
            </w:r>
          </w:p>
          <w:p w14:paraId="74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подпись</w:t>
            </w:r>
          </w:p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(МП)</w:t>
            </w:r>
          </w:p>
        </w:tc>
        <w:tc>
          <w:tcPr>
            <w:tcW w:type="dxa" w:w="3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______________</w:t>
            </w:r>
          </w:p>
          <w:p w14:paraId="77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Ф.И.О.</w:t>
            </w:r>
          </w:p>
        </w:tc>
      </w:tr>
    </w:tbl>
    <w:p w14:paraId="78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79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7A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7B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7C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7D000000">
      <w:pPr>
        <w:widowControl w:val="0"/>
        <w:spacing w:after="0" w:line="240" w:lineRule="auto"/>
        <w:ind/>
        <w:jc w:val="right"/>
        <w:outlineLvl w:val="3"/>
        <w:rPr>
          <w:rFonts w:ascii="PT Astra Serif" w:hAnsi="PT Astra Serif"/>
          <w:sz w:val="28"/>
        </w:rPr>
      </w:pPr>
    </w:p>
    <w:p w14:paraId="7E000000">
      <w:pPr>
        <w:widowControl w:val="0"/>
        <w:spacing w:after="0" w:line="240" w:lineRule="auto"/>
        <w:ind/>
        <w:jc w:val="right"/>
        <w:outlineLvl w:val="3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N 2</w:t>
      </w:r>
    </w:p>
    <w:p w14:paraId="7F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 Положению конкурсного</w:t>
      </w:r>
    </w:p>
    <w:p w14:paraId="80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отбора проектов благоустройства</w:t>
      </w:r>
    </w:p>
    <w:p w14:paraId="81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муниципальных образований</w:t>
      </w:r>
    </w:p>
    <w:p w14:paraId="82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Республики Саха (Якутия),</w:t>
      </w:r>
    </w:p>
    <w:p w14:paraId="83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подлежащих включению в проект</w:t>
      </w:r>
    </w:p>
    <w:p w14:paraId="84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"1000 дворов на Дальнем Востоке"</w:t>
      </w:r>
    </w:p>
    <w:p w14:paraId="85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86000000">
      <w:pPr>
        <w:widowControl w:val="0"/>
        <w:spacing w:after="0" w:line="240" w:lineRule="auto"/>
        <w:ind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КРИТЕРИИ ОЦЕНКИ КОНКУРСНЫХ ЗАЯВОК</w:t>
      </w:r>
    </w:p>
    <w:p w14:paraId="87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7597"/>
        <w:gridCol w:w="170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N п/п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Наименование критерия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b w:val="1"/>
                <w:sz w:val="24"/>
              </w:rPr>
            </w:pPr>
            <w:r>
              <w:rPr>
                <w:rFonts w:ascii="PT Astra Serif" w:hAnsi="PT Astra Serif"/>
                <w:b w:val="1"/>
                <w:sz w:val="24"/>
              </w:rPr>
              <w:t>Баллы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Проект благоустройства расположен в пределах жилой застройки: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Наличие проектно-сметной документации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Наличие софинансирования из государственного, местного бюджетов, а также внебюджетных источников: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widowControl w:val="0"/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менее 10%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от 10% до 20%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от 20% и более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Проекты благоустройства территорий расположены на территориях муниципальных образованиях, в которых в последующих годах проводятся мероприятия общереспубликанского значения (национальный праздник Ысыах, посвященный якутскому героическому эпосу Олонхо, спартакиада по национальным видам спорта "Игры Манчаары", спортивные игры народов Якутии)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0-1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Наличие синхронизации отбираемого проекта с программой поддержки местных инициатив, программой формирования современной городской среды и иных государственных (муниципальных программ) по благоустройству территорий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0-1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Доля граждан муниципального образования, принявших участие на всех этапах подготовки конкурсной заявки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spacing w:after="0" w:line="240" w:lineRule="auto"/>
              <w:ind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менее 30%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от 30% до 60%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от 60% до 100%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Востребованность реализуемого проекта (создание популярного места для посещения и проведения досуга жителями) с точки зрения достижения наибольшего эффекта для соответствующего муниципального образования (из пояснительной записки к заявке)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0-3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sz w:val="24"/>
              </w:rPr>
              <w:t>Проект благоустройства свидетельствует о высоком качестве архитектурного и планировочного решения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0-3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type="dxa" w:w="7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spacing w:after="0" w:line="240" w:lineRule="auto"/>
              <w:ind/>
              <w:jc w:val="both"/>
              <w:rPr>
                <w:rFonts w:ascii="PT Astra Serif" w:hAnsi="PT Astra Serif"/>
                <w:sz w:val="24"/>
              </w:rPr>
            </w:pPr>
            <w:r>
              <w:rPr>
                <w:sz w:val="24"/>
              </w:rPr>
              <w:t>Оригинальность, индивидуальность, аутентичность проекта благоустройства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spacing w:after="0" w:line="240" w:lineRule="auto"/>
              <w:ind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0-3</w:t>
            </w:r>
          </w:p>
        </w:tc>
      </w:tr>
    </w:tbl>
    <w:p w14:paraId="C2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C3000000">
      <w:pPr>
        <w:widowControl w:val="0"/>
        <w:spacing w:after="0" w:line="240" w:lineRule="auto"/>
        <w:ind/>
        <w:jc w:val="both"/>
        <w:rPr>
          <w:rFonts w:ascii="PT Astra Serif" w:hAnsi="PT Astra Serif"/>
          <w:sz w:val="28"/>
        </w:rPr>
      </w:pPr>
    </w:p>
    <w:p w14:paraId="C4000000">
      <w:pPr>
        <w:widowControl w:val="0"/>
        <w:spacing w:after="100" w:before="100" w:line="240" w:lineRule="auto"/>
        <w:ind/>
        <w:jc w:val="both"/>
        <w:rPr>
          <w:rFonts w:ascii="PT Astra Serif" w:hAnsi="PT Astra Serif"/>
          <w:sz w:val="28"/>
        </w:rPr>
      </w:pPr>
    </w:p>
    <w:p w14:paraId="C5000000">
      <w:pPr>
        <w:rPr>
          <w:rFonts w:ascii="PT Astra Serif" w:hAnsi="PT Astra Serif"/>
          <w:sz w:val="28"/>
        </w:rPr>
      </w:pPr>
    </w:p>
    <w:p w14:paraId="C6000000">
      <w:pPr>
        <w:pStyle w:val="Style_1"/>
        <w:rPr>
          <w:rFonts w:ascii="PT Astra Serif" w:hAnsi="PT Astra Serif"/>
          <w:sz w:val="28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2022-10-31T08:12:17Z</dcterms:modified>
</cp:coreProperties>
</file>